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82E" w:rsidRPr="005D582E" w:rsidRDefault="005D582E" w:rsidP="005D582E">
      <w:pPr>
        <w:spacing w:after="120" w:line="240" w:lineRule="auto"/>
        <w:ind w:left="4956" w:right="300" w:firstLine="500"/>
        <w:jc w:val="both"/>
        <w:rPr>
          <w:rFonts w:ascii="Arial" w:eastAsiaTheme="minorEastAsia" w:hAnsi="Arial" w:cs="Arial"/>
          <w:sz w:val="24"/>
          <w:szCs w:val="24"/>
          <w:lang w:eastAsia="ru-RU"/>
        </w:rPr>
      </w:pPr>
      <w:bookmarkStart w:id="0" w:name="_GoBack"/>
      <w:bookmarkEnd w:id="0"/>
      <w:r w:rsidRPr="005D582E">
        <w:rPr>
          <w:rFonts w:ascii="Arial" w:eastAsiaTheme="minorEastAsia" w:hAnsi="Arial" w:cs="Arial"/>
          <w:sz w:val="24"/>
          <w:szCs w:val="24"/>
          <w:lang w:eastAsia="ru-RU"/>
        </w:rPr>
        <w:t>«</w:t>
      </w:r>
      <w:proofErr w:type="gramStart"/>
      <w:r w:rsidRPr="005D582E">
        <w:rPr>
          <w:rFonts w:ascii="Arial" w:eastAsiaTheme="minorEastAsia" w:hAnsi="Arial" w:cs="Arial"/>
          <w:sz w:val="24"/>
          <w:szCs w:val="24"/>
          <w:lang w:eastAsia="ru-RU"/>
        </w:rPr>
        <w:t>Утверждено »</w:t>
      </w:r>
      <w:proofErr w:type="gramEnd"/>
    </w:p>
    <w:p w:rsidR="005D582E" w:rsidRPr="005D582E" w:rsidRDefault="005D582E" w:rsidP="005D582E">
      <w:pPr>
        <w:spacing w:after="120" w:line="240" w:lineRule="auto"/>
        <w:ind w:left="4956" w:right="300" w:firstLine="500"/>
        <w:jc w:val="both"/>
        <w:rPr>
          <w:rFonts w:ascii="Arial" w:eastAsiaTheme="minorEastAsia" w:hAnsi="Arial" w:cs="Arial"/>
          <w:sz w:val="24"/>
          <w:szCs w:val="24"/>
          <w:lang w:eastAsia="ru-RU"/>
        </w:rPr>
      </w:pPr>
      <w:r w:rsidRPr="005D582E">
        <w:rPr>
          <w:rFonts w:ascii="Arial" w:eastAsiaTheme="minorEastAsia" w:hAnsi="Arial" w:cs="Arial"/>
          <w:sz w:val="24"/>
          <w:szCs w:val="24"/>
          <w:lang w:eastAsia="ru-RU"/>
        </w:rPr>
        <w:t>Протокол заседания Наблюдательного совета КГП «</w:t>
      </w:r>
      <w:proofErr w:type="spellStart"/>
      <w:r w:rsidRPr="005D582E">
        <w:rPr>
          <w:rFonts w:ascii="Arial" w:eastAsiaTheme="minorEastAsia" w:hAnsi="Arial" w:cs="Arial"/>
          <w:sz w:val="24"/>
          <w:szCs w:val="24"/>
          <w:lang w:eastAsia="ru-RU"/>
        </w:rPr>
        <w:t>Костанайская</w:t>
      </w:r>
      <w:proofErr w:type="spellEnd"/>
      <w:r w:rsidRPr="005D582E">
        <w:rPr>
          <w:rFonts w:ascii="Arial" w:eastAsiaTheme="minorEastAsia" w:hAnsi="Arial" w:cs="Arial"/>
          <w:sz w:val="24"/>
          <w:szCs w:val="24"/>
          <w:lang w:eastAsia="ru-RU"/>
        </w:rPr>
        <w:t xml:space="preserve"> областная детская </w:t>
      </w:r>
      <w:proofErr w:type="gramStart"/>
      <w:r w:rsidRPr="005D582E">
        <w:rPr>
          <w:rFonts w:ascii="Arial" w:eastAsiaTheme="minorEastAsia" w:hAnsi="Arial" w:cs="Arial"/>
          <w:sz w:val="24"/>
          <w:szCs w:val="24"/>
          <w:lang w:eastAsia="ru-RU"/>
        </w:rPr>
        <w:t>больница»  №</w:t>
      </w:r>
      <w:proofErr w:type="gramEnd"/>
      <w:r w:rsidRPr="005D582E">
        <w:rPr>
          <w:rFonts w:ascii="Arial" w:eastAsiaTheme="minorEastAsia" w:hAnsi="Arial" w:cs="Arial"/>
          <w:sz w:val="24"/>
          <w:szCs w:val="24"/>
          <w:lang w:eastAsia="ru-RU"/>
        </w:rPr>
        <w:t xml:space="preserve"> 3</w:t>
      </w:r>
      <w:r w:rsidRPr="005D582E">
        <w:rPr>
          <w:rFonts w:ascii="Arial" w:eastAsiaTheme="minorEastAsia" w:hAnsi="Arial" w:cs="Arial"/>
          <w:sz w:val="24"/>
          <w:szCs w:val="24"/>
          <w:lang w:eastAsia="ru-RU"/>
        </w:rPr>
        <w:tab/>
      </w:r>
    </w:p>
    <w:p w:rsidR="0017557C" w:rsidRPr="00F92818" w:rsidRDefault="005D582E" w:rsidP="005D582E">
      <w:pPr>
        <w:spacing w:after="0" w:line="240" w:lineRule="auto"/>
        <w:ind w:left="4356"/>
        <w:jc w:val="right"/>
        <w:rPr>
          <w:rFonts w:ascii="Times New Roman" w:eastAsiaTheme="minorEastAsia" w:hAnsi="Times New Roman" w:cs="Times New Roman"/>
          <w:color w:val="666666"/>
          <w:sz w:val="24"/>
          <w:szCs w:val="24"/>
          <w:lang w:eastAsia="zh-CN"/>
        </w:rPr>
      </w:pPr>
      <w:r w:rsidRPr="005D582E">
        <w:rPr>
          <w:rFonts w:ascii="Arial" w:eastAsiaTheme="minorEastAsia" w:hAnsi="Arial" w:cs="Arial"/>
          <w:sz w:val="24"/>
          <w:szCs w:val="24"/>
          <w:lang w:eastAsia="ru-RU"/>
        </w:rPr>
        <w:t>«26» мая 2026 год.</w:t>
      </w:r>
    </w:p>
    <w:p w:rsidR="00E80647" w:rsidRPr="0017557C" w:rsidRDefault="00E80647" w:rsidP="0017557C">
      <w:pPr>
        <w:pStyle w:val="a4"/>
        <w:jc w:val="center"/>
        <w:rPr>
          <w:rFonts w:ascii="Times New Roman" w:hAnsi="Times New Roman" w:cs="Times New Roman"/>
          <w:b/>
          <w:sz w:val="28"/>
          <w:szCs w:val="28"/>
        </w:rPr>
      </w:pPr>
      <w:r w:rsidRPr="0017557C">
        <w:rPr>
          <w:rFonts w:ascii="Times New Roman" w:hAnsi="Times New Roman" w:cs="Times New Roman"/>
          <w:b/>
          <w:sz w:val="28"/>
          <w:szCs w:val="28"/>
        </w:rPr>
        <w:t>Положение  об амортизационном фонде</w:t>
      </w:r>
    </w:p>
    <w:p w:rsidR="0017557C" w:rsidRPr="0017557C" w:rsidRDefault="009D15FA" w:rsidP="0017557C">
      <w:pPr>
        <w:pStyle w:val="a4"/>
        <w:jc w:val="center"/>
        <w:rPr>
          <w:rFonts w:ascii="Times New Roman" w:hAnsi="Times New Roman" w:cs="Times New Roman"/>
          <w:b/>
          <w:sz w:val="28"/>
          <w:szCs w:val="28"/>
        </w:rPr>
      </w:pPr>
      <w:r>
        <w:rPr>
          <w:rFonts w:ascii="Times New Roman" w:hAnsi="Times New Roman" w:cs="Times New Roman"/>
          <w:b/>
          <w:sz w:val="28"/>
          <w:szCs w:val="28"/>
        </w:rPr>
        <w:t xml:space="preserve">КГП «Костанайская областная детская больница» УЗАКО </w:t>
      </w:r>
      <w:r w:rsidR="0017557C" w:rsidRPr="0017557C">
        <w:rPr>
          <w:rFonts w:ascii="Times New Roman" w:hAnsi="Times New Roman" w:cs="Times New Roman"/>
          <w:b/>
          <w:sz w:val="28"/>
          <w:szCs w:val="28"/>
        </w:rPr>
        <w:t xml:space="preserve"> </w:t>
      </w:r>
    </w:p>
    <w:p w:rsidR="0017557C" w:rsidRDefault="0017557C" w:rsidP="00541CF7">
      <w:pPr>
        <w:spacing w:after="0"/>
        <w:ind w:firstLine="708"/>
        <w:jc w:val="both"/>
        <w:rPr>
          <w:rFonts w:ascii="Times New Roman" w:hAnsi="Times New Roman" w:cs="Times New Roman"/>
          <w:sz w:val="28"/>
          <w:szCs w:val="28"/>
        </w:rPr>
      </w:pPr>
    </w:p>
    <w:p w:rsidR="00541CF7" w:rsidRDefault="00541CF7" w:rsidP="00541CF7">
      <w:pPr>
        <w:spacing w:after="0"/>
        <w:ind w:firstLine="708"/>
        <w:jc w:val="both"/>
        <w:rPr>
          <w:rFonts w:ascii="Times New Roman" w:hAnsi="Times New Roman" w:cs="Times New Roman"/>
          <w:sz w:val="28"/>
          <w:szCs w:val="28"/>
        </w:rPr>
      </w:pPr>
      <w:r w:rsidRPr="007C6E8D">
        <w:rPr>
          <w:rFonts w:ascii="Times New Roman" w:hAnsi="Times New Roman" w:cs="Times New Roman"/>
          <w:sz w:val="28"/>
          <w:szCs w:val="28"/>
        </w:rPr>
        <w:t>Амортизационный фонд</w:t>
      </w:r>
      <w:r w:rsidR="0017557C">
        <w:rPr>
          <w:rFonts w:ascii="Times New Roman" w:hAnsi="Times New Roman" w:cs="Times New Roman"/>
          <w:sz w:val="28"/>
          <w:szCs w:val="28"/>
        </w:rPr>
        <w:t xml:space="preserve"> </w:t>
      </w:r>
      <w:r w:rsidRPr="007C6E8D">
        <w:rPr>
          <w:rFonts w:ascii="Times New Roman" w:hAnsi="Times New Roman" w:cs="Times New Roman"/>
          <w:sz w:val="28"/>
          <w:szCs w:val="28"/>
        </w:rPr>
        <w:t>-</w:t>
      </w:r>
      <w:r w:rsidR="0017557C">
        <w:rPr>
          <w:rFonts w:ascii="Times New Roman" w:hAnsi="Times New Roman" w:cs="Times New Roman"/>
          <w:sz w:val="28"/>
          <w:szCs w:val="28"/>
        </w:rPr>
        <w:t xml:space="preserve"> </w:t>
      </w:r>
      <w:r w:rsidRPr="007C6E8D">
        <w:rPr>
          <w:rFonts w:ascii="Times New Roman" w:hAnsi="Times New Roman" w:cs="Times New Roman"/>
          <w:sz w:val="28"/>
          <w:szCs w:val="28"/>
        </w:rPr>
        <w:t xml:space="preserve">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 </w:t>
      </w:r>
    </w:p>
    <w:p w:rsidR="00541CF7" w:rsidRDefault="00541CF7" w:rsidP="00541CF7">
      <w:pPr>
        <w:spacing w:after="0"/>
        <w:ind w:firstLine="708"/>
        <w:jc w:val="both"/>
        <w:rPr>
          <w:rFonts w:ascii="Times New Roman" w:hAnsi="Times New Roman" w:cs="Times New Roman"/>
          <w:sz w:val="28"/>
        </w:rPr>
      </w:pPr>
      <w:r w:rsidRPr="00052E56">
        <w:rPr>
          <w:rFonts w:ascii="Times New Roman" w:hAnsi="Times New Roman" w:cs="Times New Roman"/>
          <w:sz w:val="28"/>
        </w:rPr>
        <w:t>О</w:t>
      </w:r>
      <w:r>
        <w:rPr>
          <w:rFonts w:ascii="Times New Roman" w:hAnsi="Times New Roman" w:cs="Times New Roman"/>
          <w:sz w:val="28"/>
        </w:rPr>
        <w:t xml:space="preserve">сновные </w:t>
      </w:r>
      <w:r w:rsidR="0017557C">
        <w:rPr>
          <w:rFonts w:ascii="Times New Roman" w:hAnsi="Times New Roman" w:cs="Times New Roman"/>
          <w:sz w:val="28"/>
        </w:rPr>
        <w:t>средства, участвующие в</w:t>
      </w:r>
      <w:r>
        <w:rPr>
          <w:rFonts w:ascii="Times New Roman" w:hAnsi="Times New Roman" w:cs="Times New Roman"/>
          <w:sz w:val="28"/>
        </w:rPr>
        <w:t xml:space="preserve"> деятельности  Предприятия (производственные здания и сооружения, здания офисов, производственное оборудование основного производства, производственное оборудование вспомогательных производств и т.п.), а также основные средства, которые участвуют в инвестиционной деятельности (сдача  в аренду),</w:t>
      </w:r>
      <w:r w:rsidR="0017557C">
        <w:rPr>
          <w:rFonts w:ascii="Times New Roman" w:hAnsi="Times New Roman" w:cs="Times New Roman"/>
          <w:sz w:val="28"/>
        </w:rPr>
        <w:t xml:space="preserve"> </w:t>
      </w:r>
      <w:r>
        <w:rPr>
          <w:rFonts w:ascii="Times New Roman" w:hAnsi="Times New Roman" w:cs="Times New Roman"/>
          <w:sz w:val="28"/>
        </w:rPr>
        <w:t>переносят свою стоимость на себестоимость готовой продукции и расходы на инвестиционную деятельность через амортизационные отчисления.</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Амортизация основных средств отражается на счет 2420 «Амортизация основных средств».</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Амортизационные отчисления признаются за каждый  отчетный период как расход. В Предприятии начисление амортизации производится по всем видам основных средств, которые участвуют в коммерческой деятельности  предприятия, с использованием  равномерного (прямолинейного) метода  списания стоимости, исходя из первоначальной стоимости объектов.</w:t>
      </w:r>
    </w:p>
    <w:p w:rsidR="00541CF7" w:rsidRDefault="00541CF7" w:rsidP="00541CF7">
      <w:pPr>
        <w:spacing w:after="0"/>
        <w:ind w:firstLine="708"/>
        <w:jc w:val="both"/>
        <w:rPr>
          <w:rFonts w:ascii="Times New Roman" w:hAnsi="Times New Roman" w:cs="Times New Roman"/>
          <w:sz w:val="28"/>
        </w:rPr>
      </w:pPr>
      <w:r w:rsidRPr="004F1D70">
        <w:rPr>
          <w:rFonts w:ascii="Times New Roman" w:hAnsi="Times New Roman" w:cs="Times New Roman"/>
          <w:sz w:val="28"/>
        </w:rPr>
        <w:t xml:space="preserve"> </w:t>
      </w:r>
      <w:r>
        <w:rPr>
          <w:rFonts w:ascii="Times New Roman" w:hAnsi="Times New Roman" w:cs="Times New Roman"/>
          <w:sz w:val="28"/>
        </w:rPr>
        <w:t>В целях определения полезного использования, объекты основных средств объединяются  в амортизационные группы. Размер амортизационных отчислений по основным средствам определяется следующими показателями:</w:t>
      </w:r>
    </w:p>
    <w:p w:rsidR="009D15FA" w:rsidRDefault="009D15FA" w:rsidP="00541CF7">
      <w:pPr>
        <w:spacing w:after="0"/>
        <w:ind w:firstLine="708"/>
        <w:jc w:val="both"/>
        <w:rPr>
          <w:rFonts w:ascii="Times New Roman" w:hAnsi="Times New Roman" w:cs="Times New Roman"/>
          <w:sz w:val="28"/>
        </w:rPr>
      </w:pPr>
    </w:p>
    <w:tbl>
      <w:tblPr>
        <w:tblW w:w="10030" w:type="dxa"/>
        <w:tblLayout w:type="fixed"/>
        <w:tblLook w:val="0400" w:firstRow="0" w:lastRow="0" w:firstColumn="0" w:lastColumn="0" w:noHBand="0" w:noVBand="1"/>
      </w:tblPr>
      <w:tblGrid>
        <w:gridCol w:w="6195"/>
        <w:gridCol w:w="3835"/>
      </w:tblGrid>
      <w:tr w:rsidR="009D15FA" w:rsidRPr="00D37905" w:rsidTr="00D37905">
        <w:trPr>
          <w:trHeight w:val="20"/>
        </w:trPr>
        <w:tc>
          <w:tcPr>
            <w:tcW w:w="6195" w:type="dxa"/>
            <w:tcBorders>
              <w:top w:val="single" w:sz="8" w:space="0" w:color="000000"/>
              <w:left w:val="single" w:sz="8" w:space="0" w:color="000000"/>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 </w:t>
            </w:r>
          </w:p>
        </w:tc>
        <w:tc>
          <w:tcPr>
            <w:tcW w:w="3835" w:type="dxa"/>
            <w:tcBorders>
              <w:top w:val="single" w:sz="8" w:space="0" w:color="000000"/>
              <w:left w:val="nil"/>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Срок полезного использования (кол-во лет)</w:t>
            </w:r>
          </w:p>
        </w:tc>
      </w:tr>
      <w:tr w:rsidR="009D15FA" w:rsidRPr="00D37905" w:rsidTr="00D37905">
        <w:trPr>
          <w:trHeight w:val="20"/>
        </w:trPr>
        <w:tc>
          <w:tcPr>
            <w:tcW w:w="6195"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 xml:space="preserve">Здания и сооружения </w:t>
            </w:r>
          </w:p>
        </w:tc>
        <w:tc>
          <w:tcPr>
            <w:tcW w:w="3835" w:type="dxa"/>
            <w:tcBorders>
              <w:top w:val="nil"/>
              <w:left w:val="nil"/>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hAnsi="Times New Roman" w:cs="Times New Roman"/>
                <w:b/>
              </w:rPr>
              <w:t>100</w:t>
            </w:r>
          </w:p>
        </w:tc>
      </w:tr>
      <w:tr w:rsidR="009D15FA" w:rsidRPr="00D37905" w:rsidTr="00D37905">
        <w:trPr>
          <w:trHeight w:val="20"/>
        </w:trPr>
        <w:tc>
          <w:tcPr>
            <w:tcW w:w="6195"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 xml:space="preserve">Медицинское оборудование </w:t>
            </w:r>
          </w:p>
        </w:tc>
        <w:tc>
          <w:tcPr>
            <w:tcW w:w="3835" w:type="dxa"/>
            <w:tcBorders>
              <w:top w:val="nil"/>
              <w:left w:val="nil"/>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hAnsi="Times New Roman" w:cs="Times New Roman"/>
                <w:b/>
              </w:rPr>
              <w:t>10</w:t>
            </w:r>
          </w:p>
        </w:tc>
      </w:tr>
      <w:tr w:rsidR="009D15FA" w:rsidRPr="00D37905" w:rsidTr="00D37905">
        <w:trPr>
          <w:trHeight w:val="20"/>
        </w:trPr>
        <w:tc>
          <w:tcPr>
            <w:tcW w:w="6195"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 xml:space="preserve">Офисное оборудование, компьютеры и оргтехника </w:t>
            </w:r>
          </w:p>
        </w:tc>
        <w:tc>
          <w:tcPr>
            <w:tcW w:w="3835" w:type="dxa"/>
            <w:tcBorders>
              <w:top w:val="nil"/>
              <w:left w:val="nil"/>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5</w:t>
            </w:r>
          </w:p>
        </w:tc>
      </w:tr>
      <w:tr w:rsidR="009D15FA" w:rsidRPr="00D37905" w:rsidTr="00D37905">
        <w:trPr>
          <w:trHeight w:val="20"/>
        </w:trPr>
        <w:tc>
          <w:tcPr>
            <w:tcW w:w="6195" w:type="dxa"/>
            <w:tcBorders>
              <w:top w:val="nil"/>
              <w:left w:val="single" w:sz="8" w:space="0" w:color="000000"/>
              <w:bottom w:val="single" w:sz="4" w:space="0" w:color="auto"/>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Прочие основные средства</w:t>
            </w:r>
          </w:p>
        </w:tc>
        <w:tc>
          <w:tcPr>
            <w:tcW w:w="3835" w:type="dxa"/>
            <w:tcBorders>
              <w:top w:val="nil"/>
              <w:left w:val="nil"/>
              <w:bottom w:val="single" w:sz="4" w:space="0" w:color="auto"/>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hAnsi="Times New Roman" w:cs="Times New Roman"/>
                <w:b/>
              </w:rPr>
              <w:t>7</w:t>
            </w:r>
          </w:p>
        </w:tc>
      </w:tr>
      <w:tr w:rsidR="009D15FA" w:rsidRPr="00D37905" w:rsidTr="00D37905">
        <w:trPr>
          <w:trHeight w:val="20"/>
        </w:trPr>
        <w:tc>
          <w:tcPr>
            <w:tcW w:w="6195" w:type="dxa"/>
            <w:tcBorders>
              <w:top w:val="single" w:sz="4" w:space="0" w:color="auto"/>
              <w:left w:val="single" w:sz="8" w:space="0" w:color="000000"/>
              <w:bottom w:val="nil"/>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Право пользования активом</w:t>
            </w:r>
          </w:p>
        </w:tc>
        <w:tc>
          <w:tcPr>
            <w:tcW w:w="3835" w:type="dxa"/>
            <w:tcBorders>
              <w:top w:val="single" w:sz="4" w:space="0" w:color="auto"/>
              <w:left w:val="nil"/>
              <w:bottom w:val="nil"/>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hAnsi="Times New Roman" w:cs="Times New Roman"/>
                <w:b/>
              </w:rPr>
            </w:pPr>
            <w:r w:rsidRPr="00D37905">
              <w:rPr>
                <w:rFonts w:ascii="Times New Roman" w:hAnsi="Times New Roman" w:cs="Times New Roman"/>
                <w:b/>
              </w:rPr>
              <w:t>Зависит от договора</w:t>
            </w:r>
          </w:p>
        </w:tc>
      </w:tr>
      <w:tr w:rsidR="009D15FA" w:rsidRPr="00D37905" w:rsidTr="00D37905">
        <w:trPr>
          <w:trHeight w:val="20"/>
        </w:trPr>
        <w:tc>
          <w:tcPr>
            <w:tcW w:w="6195" w:type="dxa"/>
            <w:tcBorders>
              <w:top w:val="single" w:sz="4" w:space="0" w:color="auto"/>
              <w:left w:val="single" w:sz="8" w:space="0" w:color="000000"/>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eastAsia="Times New Roman" w:hAnsi="Times New Roman" w:cs="Times New Roman"/>
                <w:b/>
                <w:color w:val="000000"/>
              </w:rPr>
            </w:pPr>
            <w:r w:rsidRPr="00D37905">
              <w:rPr>
                <w:rFonts w:ascii="Times New Roman" w:eastAsia="Times New Roman" w:hAnsi="Times New Roman" w:cs="Times New Roman"/>
                <w:b/>
                <w:color w:val="000000"/>
              </w:rPr>
              <w:t>Транспортные средства</w:t>
            </w:r>
          </w:p>
        </w:tc>
        <w:tc>
          <w:tcPr>
            <w:tcW w:w="3835" w:type="dxa"/>
            <w:tcBorders>
              <w:top w:val="single" w:sz="4" w:space="0" w:color="auto"/>
              <w:left w:val="nil"/>
              <w:bottom w:val="single" w:sz="8" w:space="0" w:color="000000"/>
              <w:right w:val="single" w:sz="8" w:space="0" w:color="000000"/>
            </w:tcBorders>
            <w:tcMar>
              <w:top w:w="0" w:type="dxa"/>
              <w:left w:w="107" w:type="dxa"/>
              <w:bottom w:w="0" w:type="dxa"/>
              <w:right w:w="107" w:type="dxa"/>
            </w:tcMar>
          </w:tcPr>
          <w:p w:rsidR="009D15FA" w:rsidRPr="00D37905" w:rsidRDefault="009D15FA" w:rsidP="00445040">
            <w:pPr>
              <w:pBdr>
                <w:top w:val="nil"/>
                <w:left w:val="nil"/>
                <w:bottom w:val="nil"/>
                <w:right w:val="nil"/>
                <w:between w:val="nil"/>
              </w:pBdr>
              <w:jc w:val="both"/>
              <w:rPr>
                <w:rFonts w:ascii="Times New Roman" w:hAnsi="Times New Roman" w:cs="Times New Roman"/>
                <w:b/>
              </w:rPr>
            </w:pPr>
            <w:r w:rsidRPr="00D37905">
              <w:rPr>
                <w:rFonts w:ascii="Times New Roman" w:hAnsi="Times New Roman" w:cs="Times New Roman"/>
                <w:b/>
              </w:rPr>
              <w:t>7</w:t>
            </w:r>
          </w:p>
        </w:tc>
      </w:tr>
    </w:tbl>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lastRenderedPageBreak/>
        <w:t>Начисление амортизации по основным средствам, вновь введенным в эксплуатацию, начинается с 1-го числа месяца, следующего за месяцем ввода; а по выбывшим-прекращается с 1-го числа месяца, следующего за месяцем выбытия.</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Амортизируемая стоимость основного средства должна анализироваться  на каждую годовую отчетную дату.</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В соответствии с приложениями МСФО </w:t>
      </w:r>
      <w:r>
        <w:rPr>
          <w:rFonts w:ascii="Times New Roman" w:hAnsi="Times New Roman" w:cs="Times New Roman"/>
          <w:sz w:val="28"/>
          <w:lang w:val="en-US"/>
        </w:rPr>
        <w:t>IAS</w:t>
      </w:r>
      <w:r>
        <w:rPr>
          <w:rFonts w:ascii="Times New Roman" w:hAnsi="Times New Roman" w:cs="Times New Roman"/>
          <w:sz w:val="28"/>
        </w:rPr>
        <w:t xml:space="preserve"> 16 «Основные средства» в Предприятии  в конце каждого финансового года производится анализ экономической целесообразности применяемого метода амортизации для каждой группы основных средств. Если обнаруживается значительное изменение в ожидаемой схеме потребления будущих экономических выгод, заключенных в активе, применяемый  ранее метод должен быть скорректирован для отражения этого изменения. Изменения начинают действовать на основании решения об изменении метода начисления амортизации после ремонта оформления соответствующих  распоряжений директора Предприятия.</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При покомпонентном учете основных средств амортизация начисляется  по каждому компоненту отдельно.</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Начисление амортизации не прекращается, если объект основных средств временно не используется. Амортизационные отчисления в случае, если в результате простоя оборудования не был получен доход, относятся на расходы, не идущие на вычеты при определении налогооблагаемого дохода.</w:t>
      </w:r>
    </w:p>
    <w:p w:rsidR="00541CF7" w:rsidRDefault="00541CF7" w:rsidP="00541CF7">
      <w:pPr>
        <w:spacing w:after="0"/>
        <w:ind w:firstLine="708"/>
        <w:jc w:val="both"/>
        <w:rPr>
          <w:rFonts w:ascii="Times New Roman" w:hAnsi="Times New Roman" w:cs="Times New Roman"/>
          <w:sz w:val="28"/>
        </w:rPr>
      </w:pPr>
    </w:p>
    <w:p w:rsidR="00541CF7" w:rsidRDefault="00541CF7" w:rsidP="00541CF7">
      <w:pPr>
        <w:spacing w:after="0"/>
        <w:ind w:firstLine="708"/>
        <w:jc w:val="center"/>
        <w:rPr>
          <w:rFonts w:ascii="Times New Roman" w:hAnsi="Times New Roman" w:cs="Times New Roman"/>
          <w:b/>
          <w:sz w:val="28"/>
        </w:rPr>
      </w:pPr>
      <w:r w:rsidRPr="00C17948">
        <w:rPr>
          <w:rFonts w:ascii="Times New Roman" w:hAnsi="Times New Roman" w:cs="Times New Roman"/>
          <w:b/>
          <w:sz w:val="28"/>
        </w:rPr>
        <w:t>Прекращение признания основных средств</w:t>
      </w:r>
    </w:p>
    <w:p w:rsidR="00541CF7" w:rsidRDefault="00541CF7" w:rsidP="00541CF7">
      <w:pPr>
        <w:spacing w:after="0"/>
        <w:ind w:firstLine="708"/>
        <w:rPr>
          <w:rFonts w:ascii="Times New Roman" w:hAnsi="Times New Roman" w:cs="Times New Roman"/>
          <w:b/>
          <w:sz w:val="28"/>
        </w:rPr>
      </w:pP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Предприятие прекращает признание </w:t>
      </w:r>
      <w:proofErr w:type="gramStart"/>
      <w:r>
        <w:rPr>
          <w:rFonts w:ascii="Times New Roman" w:hAnsi="Times New Roman" w:cs="Times New Roman"/>
          <w:sz w:val="28"/>
        </w:rPr>
        <w:t>объекта  основных</w:t>
      </w:r>
      <w:proofErr w:type="gramEnd"/>
      <w:r>
        <w:rPr>
          <w:rFonts w:ascii="Times New Roman" w:hAnsi="Times New Roman" w:cs="Times New Roman"/>
          <w:sz w:val="28"/>
        </w:rPr>
        <w:t xml:space="preserve"> средств при его выбытии или когда не ожидается никаких будущих экономических выгод от его использования или выбытия. Выбытие основных средств из эксплуатации  может быть вызвано безвозмездной передачей другим юридическим ликвидацией вследствие аварии, по физическому и моральному износу.</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Прибыли или убытки, возникающие при прекращении признания объекта основных средств, должны включаться в прибыль или убыток, когда прекращается  признание объекта.</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При выбытии отдельного </w:t>
      </w:r>
      <w:proofErr w:type="gramStart"/>
      <w:r>
        <w:rPr>
          <w:rFonts w:ascii="Times New Roman" w:hAnsi="Times New Roman" w:cs="Times New Roman"/>
          <w:sz w:val="28"/>
        </w:rPr>
        <w:t>компонента  учета</w:t>
      </w:r>
      <w:proofErr w:type="gramEnd"/>
      <w:r>
        <w:rPr>
          <w:rFonts w:ascii="Times New Roman" w:hAnsi="Times New Roman" w:cs="Times New Roman"/>
          <w:sz w:val="28"/>
        </w:rPr>
        <w:t xml:space="preserve"> основного средства, его балансовая стоимость увеличивается на себестоимость нового компонента , а  неизношенная часть старого компонента списывается аналогично  списанию выбывшего основного средства.</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Прибыль и убыток, возникающие при прекращении признания объекта основных средств, должны определяется как разница между чистыми поступлениями от выбытия  (цена реализации при продаже, стоимость сданного лома при списании оборудования, стоимость оприходованных материалов, </w:t>
      </w:r>
      <w:r>
        <w:rPr>
          <w:rFonts w:ascii="Times New Roman" w:hAnsi="Times New Roman" w:cs="Times New Roman"/>
          <w:sz w:val="28"/>
        </w:rPr>
        <w:lastRenderedPageBreak/>
        <w:t>полученных при демонтаже основного средств  и т.п.), если таковые имеются  и балансовой стоимостью указанного объекта.</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Для определения  непригодности основных средств, невозможности или экономической нецелесообразности их восстановительного ремонта  в Предприятия создана постоянно действующая комиссия. Комиссия  производит непосредственный осмотр ликвидируемых  объектов, устанавливает причины их списания и лиц, виновных в этом и подлежащих привлечению к ответственности, определяет возможность использования отдельных узлов, деталей, материалов и производит их оценку. Результатом работы является составление Акта на сп</w:t>
      </w:r>
      <w:r w:rsidR="00FD6F42">
        <w:rPr>
          <w:rFonts w:ascii="Times New Roman" w:hAnsi="Times New Roman" w:cs="Times New Roman"/>
          <w:sz w:val="28"/>
        </w:rPr>
        <w:t xml:space="preserve">исание основных средств, </w:t>
      </w:r>
      <w:r>
        <w:rPr>
          <w:rFonts w:ascii="Times New Roman" w:hAnsi="Times New Roman" w:cs="Times New Roman"/>
          <w:sz w:val="28"/>
        </w:rPr>
        <w:t>на основе которого в бухгалтерии делаются соответствующие бухгалтерские записи. В акте отражают первоначальную стоимость объекта, сумму начисленного износа по данным бухгалтерского учета, стоимость материальных ценностей</w:t>
      </w:r>
      <w:r w:rsidR="00FD6F42">
        <w:rPr>
          <w:rFonts w:ascii="Times New Roman" w:hAnsi="Times New Roman" w:cs="Times New Roman"/>
          <w:sz w:val="28"/>
        </w:rPr>
        <w:t xml:space="preserve">. </w:t>
      </w:r>
      <w:r>
        <w:rPr>
          <w:rFonts w:ascii="Times New Roman" w:hAnsi="Times New Roman" w:cs="Times New Roman"/>
          <w:sz w:val="28"/>
        </w:rPr>
        <w:t>В финансовой отчетности Предприятия раскрывает для каждого класса основных средств:</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базы измерений, используемые  для определения валовой балансовой стоимости;</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-используемые методы начисления амортизации;</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-применяемые сроки полезного использования или нормы амортизации;</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-валовую балансовую стоимость и накопленную амортизацию (в совокупности с накопленными убытками от обесценения) на начало и конец периода;</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выверку балансовой стоимости на начало и конец периода, показывающую:</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а) поступления;</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б) выбытия активов;</w:t>
      </w:r>
    </w:p>
    <w:p w:rsidR="00541CF7" w:rsidRDefault="00FD6F42" w:rsidP="00541CF7">
      <w:pPr>
        <w:spacing w:after="0"/>
        <w:ind w:firstLine="708"/>
        <w:jc w:val="both"/>
        <w:rPr>
          <w:rFonts w:ascii="Times New Roman" w:hAnsi="Times New Roman" w:cs="Times New Roman"/>
          <w:sz w:val="28"/>
        </w:rPr>
      </w:pPr>
      <w:r>
        <w:rPr>
          <w:rFonts w:ascii="Times New Roman" w:hAnsi="Times New Roman" w:cs="Times New Roman"/>
          <w:sz w:val="28"/>
        </w:rPr>
        <w:t>г</w:t>
      </w:r>
      <w:r w:rsidR="00541CF7">
        <w:rPr>
          <w:rFonts w:ascii="Times New Roman" w:hAnsi="Times New Roman" w:cs="Times New Roman"/>
          <w:sz w:val="28"/>
        </w:rPr>
        <w:t>) амортизация;</w:t>
      </w:r>
    </w:p>
    <w:p w:rsidR="00541CF7" w:rsidRDefault="00FD6F42" w:rsidP="00541CF7">
      <w:pPr>
        <w:spacing w:after="0"/>
        <w:ind w:firstLine="708"/>
        <w:jc w:val="both"/>
        <w:rPr>
          <w:rFonts w:ascii="Times New Roman" w:hAnsi="Times New Roman" w:cs="Times New Roman"/>
          <w:sz w:val="28"/>
        </w:rPr>
      </w:pPr>
      <w:r>
        <w:rPr>
          <w:rFonts w:ascii="Times New Roman" w:hAnsi="Times New Roman" w:cs="Times New Roman"/>
          <w:sz w:val="28"/>
        </w:rPr>
        <w:t>д</w:t>
      </w:r>
      <w:r w:rsidR="00541CF7">
        <w:rPr>
          <w:rFonts w:ascii="Times New Roman" w:hAnsi="Times New Roman" w:cs="Times New Roman"/>
          <w:sz w:val="28"/>
        </w:rPr>
        <w:t>) прочие изменения.</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 -наличие  и суммы ограничений на права собственности и на объекты основных средств, переданных в залог в качестве  обеспечения обязательств;</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-сумму договорных обязательств по приобретению  основных средств;</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-сумму компенсации от третьих сторон по объектам основных средств, которые обесценились, были утрачены или отданы, включенную в прибыль или убыток, если она не раскрыта отдельно в отчете о прибылях и убытках;</w:t>
      </w:r>
    </w:p>
    <w:p w:rsidR="00541CF7" w:rsidRPr="00C31FF0" w:rsidRDefault="00541CF7" w:rsidP="00541CF7">
      <w:pPr>
        <w:spacing w:after="0"/>
        <w:ind w:firstLine="708"/>
        <w:jc w:val="center"/>
        <w:rPr>
          <w:rFonts w:ascii="Times New Roman" w:hAnsi="Times New Roman" w:cs="Times New Roman"/>
          <w:b/>
          <w:sz w:val="28"/>
        </w:rPr>
      </w:pPr>
    </w:p>
    <w:p w:rsidR="00541CF7" w:rsidRPr="00C31FF0" w:rsidRDefault="00541CF7" w:rsidP="00541CF7">
      <w:pPr>
        <w:spacing w:after="0"/>
        <w:ind w:firstLine="708"/>
        <w:jc w:val="center"/>
        <w:rPr>
          <w:rFonts w:ascii="Times New Roman" w:hAnsi="Times New Roman" w:cs="Times New Roman"/>
          <w:b/>
          <w:sz w:val="28"/>
        </w:rPr>
      </w:pPr>
      <w:r w:rsidRPr="00DE2243">
        <w:rPr>
          <w:rFonts w:ascii="Times New Roman" w:hAnsi="Times New Roman" w:cs="Times New Roman"/>
          <w:b/>
          <w:sz w:val="28"/>
        </w:rPr>
        <w:t>Учет нематериальных активов</w:t>
      </w:r>
    </w:p>
    <w:p w:rsidR="00541CF7" w:rsidRPr="00C31FF0" w:rsidRDefault="00541CF7" w:rsidP="00541CF7">
      <w:pPr>
        <w:spacing w:after="0"/>
        <w:ind w:firstLine="708"/>
        <w:jc w:val="center"/>
        <w:rPr>
          <w:rFonts w:ascii="Times New Roman" w:hAnsi="Times New Roman" w:cs="Times New Roman"/>
          <w:b/>
          <w:sz w:val="28"/>
        </w:rPr>
      </w:pP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Порядок учета и отражения в финансовой отчетности нематериальных активов регулируется МСФО (</w:t>
      </w:r>
      <w:r>
        <w:rPr>
          <w:rFonts w:ascii="Times New Roman" w:hAnsi="Times New Roman" w:cs="Times New Roman"/>
          <w:sz w:val="28"/>
          <w:lang w:val="en-US"/>
        </w:rPr>
        <w:t>IAS</w:t>
      </w:r>
      <w:r>
        <w:rPr>
          <w:rFonts w:ascii="Times New Roman" w:hAnsi="Times New Roman" w:cs="Times New Roman"/>
          <w:sz w:val="28"/>
        </w:rPr>
        <w:t>) 38 «Нематериальные активы».</w:t>
      </w:r>
    </w:p>
    <w:p w:rsidR="00541CF7" w:rsidRDefault="00541CF7" w:rsidP="00FD6F42">
      <w:pPr>
        <w:spacing w:after="0"/>
        <w:ind w:firstLine="708"/>
        <w:jc w:val="both"/>
        <w:rPr>
          <w:rFonts w:ascii="Times New Roman" w:hAnsi="Times New Roman" w:cs="Times New Roman"/>
          <w:sz w:val="28"/>
        </w:rPr>
      </w:pPr>
      <w:r>
        <w:rPr>
          <w:rFonts w:ascii="Times New Roman" w:hAnsi="Times New Roman" w:cs="Times New Roman"/>
          <w:sz w:val="28"/>
        </w:rPr>
        <w:t xml:space="preserve">Предприятие вправе вкладывать средства в нематериальные активы, под которыми понимаются не денежные активы, не имеющие физической сущности, предназначенные для использования в течение длительного периода времени </w:t>
      </w:r>
      <w:r>
        <w:rPr>
          <w:rFonts w:ascii="Times New Roman" w:hAnsi="Times New Roman" w:cs="Times New Roman"/>
          <w:sz w:val="28"/>
        </w:rPr>
        <w:lastRenderedPageBreak/>
        <w:t>(более одного года) в производстве или реализации товаров (работ, услуг) в административных целях</w:t>
      </w:r>
      <w:r w:rsidR="00FD6F42">
        <w:rPr>
          <w:rFonts w:ascii="Times New Roman" w:hAnsi="Times New Roman" w:cs="Times New Roman"/>
          <w:sz w:val="28"/>
        </w:rPr>
        <w:t>.</w:t>
      </w:r>
      <w:r>
        <w:rPr>
          <w:rFonts w:ascii="Times New Roman" w:hAnsi="Times New Roman" w:cs="Times New Roman"/>
          <w:sz w:val="28"/>
        </w:rPr>
        <w:t xml:space="preserve"> </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Нематериальные активы, учитываются по модели учета по фактическим затратам, то есть по фактической себестоимости за вычетом накопленной амортизации и накопленного убытка от обесценения на счете 2730 «Прочие нематериальные активы». Амортизация нематериальных активов учитывается на счете 2740 «Амортизация прочих нематериальных активов».</w:t>
      </w:r>
    </w:p>
    <w:p w:rsidR="00541CF7" w:rsidRDefault="00541CF7" w:rsidP="00541CF7">
      <w:pPr>
        <w:spacing w:after="0"/>
        <w:ind w:firstLine="708"/>
        <w:rPr>
          <w:rFonts w:ascii="Times New Roman" w:hAnsi="Times New Roman" w:cs="Times New Roman"/>
          <w:b/>
          <w:sz w:val="28"/>
        </w:rPr>
      </w:pPr>
    </w:p>
    <w:p w:rsidR="00541CF7" w:rsidRDefault="00541CF7" w:rsidP="00541CF7">
      <w:pPr>
        <w:spacing w:after="0"/>
        <w:ind w:firstLine="708"/>
        <w:jc w:val="center"/>
        <w:rPr>
          <w:rFonts w:ascii="Times New Roman" w:hAnsi="Times New Roman" w:cs="Times New Roman"/>
          <w:b/>
          <w:sz w:val="28"/>
        </w:rPr>
      </w:pPr>
      <w:r w:rsidRPr="00DE2243">
        <w:rPr>
          <w:rFonts w:ascii="Times New Roman" w:hAnsi="Times New Roman" w:cs="Times New Roman"/>
          <w:b/>
          <w:sz w:val="28"/>
        </w:rPr>
        <w:t>Поступление нематери</w:t>
      </w:r>
      <w:r>
        <w:rPr>
          <w:rFonts w:ascii="Times New Roman" w:hAnsi="Times New Roman" w:cs="Times New Roman"/>
          <w:b/>
          <w:sz w:val="28"/>
        </w:rPr>
        <w:t>а</w:t>
      </w:r>
      <w:r w:rsidRPr="00DE2243">
        <w:rPr>
          <w:rFonts w:ascii="Times New Roman" w:hAnsi="Times New Roman" w:cs="Times New Roman"/>
          <w:b/>
          <w:sz w:val="28"/>
        </w:rPr>
        <w:t>льных активов</w:t>
      </w:r>
    </w:p>
    <w:p w:rsidR="00541CF7" w:rsidRDefault="00541CF7" w:rsidP="00541CF7">
      <w:pPr>
        <w:spacing w:after="0"/>
        <w:ind w:firstLine="708"/>
        <w:jc w:val="both"/>
        <w:rPr>
          <w:rFonts w:ascii="Times New Roman" w:hAnsi="Times New Roman" w:cs="Times New Roman"/>
          <w:sz w:val="28"/>
        </w:rPr>
      </w:pP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Первоначальное признание нематериальных активов осуществляется по его себестоимости оформляется Актом приемки-передачи </w:t>
      </w:r>
      <w:proofErr w:type="gramStart"/>
      <w:r>
        <w:rPr>
          <w:rFonts w:ascii="Times New Roman" w:hAnsi="Times New Roman" w:cs="Times New Roman"/>
          <w:sz w:val="28"/>
        </w:rPr>
        <w:t>нематериальных  активов</w:t>
      </w:r>
      <w:proofErr w:type="gramEnd"/>
      <w:r>
        <w:rPr>
          <w:rFonts w:ascii="Times New Roman" w:hAnsi="Times New Roman" w:cs="Times New Roman"/>
          <w:sz w:val="28"/>
        </w:rPr>
        <w:t xml:space="preserve"> в произвольной форме, в котором отражаются их срок полезной службы и ликвидационная стоимость.</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Срок полезного использования нематериального актива устанавливается  Предприятием самостоятельно на основе наиболее приближенной оценки руководства, но не более срок деятельности компании с момента готовности нематериального актива к использованию, и является  неопределенным (патент, авторское право) или ограниченным (договорные права, например,- лицензионное соглашение).</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При неопределенном сроке полезного использования нематериального актива амортизация не начисляется, а ежегодно производится тест на обесценение. Сумма обесценения аккумулируется на счете  2750 «Убытки от обесценения прочих нематериальных активов».</w:t>
      </w:r>
    </w:p>
    <w:p w:rsidR="00541CF7" w:rsidRPr="00C128CB" w:rsidRDefault="00541CF7" w:rsidP="00541CF7">
      <w:pPr>
        <w:spacing w:after="0"/>
        <w:ind w:firstLine="708"/>
        <w:jc w:val="center"/>
        <w:rPr>
          <w:rFonts w:ascii="Times New Roman" w:hAnsi="Times New Roman" w:cs="Times New Roman"/>
          <w:b/>
          <w:sz w:val="28"/>
        </w:rPr>
      </w:pPr>
    </w:p>
    <w:p w:rsidR="00541CF7" w:rsidRPr="00C31FF0" w:rsidRDefault="00541CF7" w:rsidP="00541CF7">
      <w:pPr>
        <w:spacing w:after="0"/>
        <w:ind w:firstLine="708"/>
        <w:jc w:val="center"/>
        <w:rPr>
          <w:rFonts w:ascii="Times New Roman" w:hAnsi="Times New Roman" w:cs="Times New Roman"/>
          <w:b/>
          <w:sz w:val="28"/>
        </w:rPr>
      </w:pPr>
      <w:r w:rsidRPr="00C128CB">
        <w:rPr>
          <w:rFonts w:ascii="Times New Roman" w:hAnsi="Times New Roman" w:cs="Times New Roman"/>
          <w:b/>
          <w:sz w:val="28"/>
        </w:rPr>
        <w:t>Выбытие нематериальных активов</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Нематериальный актив списывается с бухгалтерского баланса Предприятия при его выбытии или если не ожидается получение никаких экономических выгод от его использования или последующего выбытия. Выбытие нематериального актива оформляется актом на списание произвольной формы.</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При списании нематериального актива его первоначальная (переоцененная) стоимость списывается с соответствующего счета. Одновременно списывается накопленная по данному объекту амортизация. Прибыть и убыток, возникающие в связи с прекращением использования или выбытием нематериального актива, должны определяется как разница между чистыми поступлениями от выбытия и балансовой стоимостью актива и  должны признаваться как доход или расход в отчете о прибылях и убытках.</w:t>
      </w:r>
    </w:p>
    <w:p w:rsidR="00541CF7" w:rsidRDefault="00541CF7" w:rsidP="00541CF7">
      <w:pPr>
        <w:spacing w:after="0"/>
        <w:ind w:firstLine="708"/>
        <w:jc w:val="both"/>
        <w:rPr>
          <w:rFonts w:ascii="Times New Roman" w:hAnsi="Times New Roman" w:cs="Times New Roman"/>
          <w:sz w:val="28"/>
        </w:rPr>
      </w:pPr>
    </w:p>
    <w:p w:rsidR="00D37905" w:rsidRDefault="00D37905" w:rsidP="00541CF7">
      <w:pPr>
        <w:spacing w:after="0"/>
        <w:ind w:firstLine="708"/>
        <w:jc w:val="center"/>
        <w:rPr>
          <w:rFonts w:ascii="Times New Roman" w:hAnsi="Times New Roman" w:cs="Times New Roman"/>
          <w:b/>
          <w:sz w:val="28"/>
        </w:rPr>
      </w:pPr>
    </w:p>
    <w:p w:rsidR="00D37905" w:rsidRDefault="00D37905" w:rsidP="00541CF7">
      <w:pPr>
        <w:spacing w:after="0"/>
        <w:ind w:firstLine="708"/>
        <w:jc w:val="center"/>
        <w:rPr>
          <w:rFonts w:ascii="Times New Roman" w:hAnsi="Times New Roman" w:cs="Times New Roman"/>
          <w:b/>
          <w:sz w:val="28"/>
        </w:rPr>
      </w:pPr>
    </w:p>
    <w:p w:rsidR="00D37905" w:rsidRDefault="00D37905" w:rsidP="00541CF7">
      <w:pPr>
        <w:spacing w:after="0"/>
        <w:ind w:firstLine="708"/>
        <w:jc w:val="center"/>
        <w:rPr>
          <w:rFonts w:ascii="Times New Roman" w:hAnsi="Times New Roman" w:cs="Times New Roman"/>
          <w:b/>
          <w:sz w:val="28"/>
        </w:rPr>
      </w:pPr>
    </w:p>
    <w:p w:rsidR="00541CF7" w:rsidRDefault="00541CF7" w:rsidP="00541CF7">
      <w:pPr>
        <w:spacing w:after="0"/>
        <w:ind w:firstLine="708"/>
        <w:jc w:val="center"/>
        <w:rPr>
          <w:rFonts w:ascii="Times New Roman" w:hAnsi="Times New Roman" w:cs="Times New Roman"/>
          <w:b/>
          <w:sz w:val="28"/>
        </w:rPr>
      </w:pPr>
      <w:r w:rsidRPr="00F34486">
        <w:rPr>
          <w:rFonts w:ascii="Times New Roman" w:hAnsi="Times New Roman" w:cs="Times New Roman"/>
          <w:b/>
          <w:sz w:val="28"/>
        </w:rPr>
        <w:lastRenderedPageBreak/>
        <w:t>Начисление амортизации</w:t>
      </w:r>
    </w:p>
    <w:p w:rsidR="00541CF7" w:rsidRDefault="00541CF7" w:rsidP="00541CF7">
      <w:pPr>
        <w:spacing w:after="0"/>
        <w:ind w:firstLine="708"/>
        <w:jc w:val="center"/>
        <w:rPr>
          <w:rFonts w:ascii="Times New Roman" w:hAnsi="Times New Roman" w:cs="Times New Roman"/>
          <w:b/>
          <w:sz w:val="28"/>
        </w:rPr>
      </w:pPr>
    </w:p>
    <w:p w:rsidR="00541CF7" w:rsidRDefault="00541CF7" w:rsidP="00541CF7">
      <w:pPr>
        <w:spacing w:after="0"/>
        <w:ind w:firstLine="708"/>
        <w:jc w:val="both"/>
        <w:rPr>
          <w:rFonts w:ascii="Times New Roman" w:hAnsi="Times New Roman" w:cs="Times New Roman"/>
          <w:sz w:val="28"/>
        </w:rPr>
      </w:pPr>
      <w:r w:rsidRPr="00F34486">
        <w:rPr>
          <w:rFonts w:ascii="Times New Roman" w:hAnsi="Times New Roman" w:cs="Times New Roman"/>
          <w:sz w:val="28"/>
        </w:rPr>
        <w:t>В Предприятии начисление</w:t>
      </w:r>
      <w:r>
        <w:rPr>
          <w:rFonts w:ascii="Times New Roman" w:hAnsi="Times New Roman" w:cs="Times New Roman"/>
          <w:sz w:val="28"/>
        </w:rPr>
        <w:t xml:space="preserve"> аморт</w:t>
      </w:r>
      <w:r w:rsidRPr="00F34486">
        <w:rPr>
          <w:rFonts w:ascii="Times New Roman" w:hAnsi="Times New Roman" w:cs="Times New Roman"/>
          <w:sz w:val="28"/>
        </w:rPr>
        <w:t>изации производится с момента</w:t>
      </w:r>
      <w:r>
        <w:rPr>
          <w:rFonts w:ascii="Times New Roman" w:hAnsi="Times New Roman" w:cs="Times New Roman"/>
          <w:sz w:val="28"/>
        </w:rPr>
        <w:t xml:space="preserve"> готовности нематериального актива к использованию по назначению. Для начисления амортизации нематериальных активов используется прямолинейный (равномерный) метод, который применяется   последовательно от одного отчетного периода к другому, если только не произошли изменения в ожидаемой модели потребления экономических выгод от актива. Сумма  амортизации обычно признается как расход, если она не включена в себестоимость другого актива. </w:t>
      </w:r>
    </w:p>
    <w:p w:rsidR="00541CF7" w:rsidRDefault="00541CF7" w:rsidP="00541CF7">
      <w:pPr>
        <w:spacing w:after="0"/>
        <w:ind w:firstLine="708"/>
        <w:jc w:val="both"/>
        <w:rPr>
          <w:rFonts w:ascii="Times New Roman" w:hAnsi="Times New Roman" w:cs="Times New Roman"/>
          <w:sz w:val="28"/>
        </w:rPr>
      </w:pPr>
      <w:r>
        <w:rPr>
          <w:rFonts w:ascii="Times New Roman" w:hAnsi="Times New Roman" w:cs="Times New Roman"/>
          <w:sz w:val="28"/>
        </w:rPr>
        <w:t xml:space="preserve">Срок полезной службы и используемый метод начисления амортизации актива в Предприятии пересматриваются на каждую дату составления финансовой отчетности. Если ожидаемый срок полезной службы актива  значительно  отличается от предыдущих оценок, срок начисления амортизации должен быть соответственно изменен. Если происходит значительное   </w:t>
      </w:r>
      <w:proofErr w:type="gramStart"/>
      <w:r>
        <w:rPr>
          <w:rFonts w:ascii="Times New Roman" w:hAnsi="Times New Roman" w:cs="Times New Roman"/>
          <w:sz w:val="28"/>
        </w:rPr>
        <w:t>изменения  в</w:t>
      </w:r>
      <w:proofErr w:type="gramEnd"/>
      <w:r>
        <w:rPr>
          <w:rFonts w:ascii="Times New Roman" w:hAnsi="Times New Roman" w:cs="Times New Roman"/>
          <w:sz w:val="28"/>
        </w:rPr>
        <w:t xml:space="preserve"> ожидаемой модели потребления экономических выгод от использования актива необходимо изменить метод начисления амортизации для отражения произошедшего изменения.</w:t>
      </w:r>
    </w:p>
    <w:p w:rsidR="00541CF7" w:rsidRDefault="00541CF7" w:rsidP="00541CF7">
      <w:pPr>
        <w:spacing w:after="0"/>
        <w:ind w:firstLine="708"/>
        <w:jc w:val="both"/>
        <w:rPr>
          <w:rFonts w:ascii="Times New Roman" w:hAnsi="Times New Roman" w:cs="Times New Roman"/>
          <w:sz w:val="28"/>
        </w:rPr>
      </w:pPr>
    </w:p>
    <w:p w:rsidR="00E80647" w:rsidRPr="007C6E8D" w:rsidRDefault="00E80647" w:rsidP="00E80647">
      <w:pPr>
        <w:jc w:val="center"/>
        <w:rPr>
          <w:rFonts w:ascii="Times New Roman" w:hAnsi="Times New Roman" w:cs="Times New Roman"/>
          <w:sz w:val="28"/>
          <w:szCs w:val="28"/>
        </w:rPr>
      </w:pPr>
    </w:p>
    <w:sectPr w:rsidR="00E80647" w:rsidRPr="007C6E8D" w:rsidSect="007C6E8D">
      <w:pgSz w:w="11906" w:h="16838"/>
      <w:pgMar w:top="568"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647"/>
    <w:rsid w:val="00134DA8"/>
    <w:rsid w:val="0017557C"/>
    <w:rsid w:val="00450AAB"/>
    <w:rsid w:val="00541CF7"/>
    <w:rsid w:val="005D582E"/>
    <w:rsid w:val="005E6EDC"/>
    <w:rsid w:val="007B56D8"/>
    <w:rsid w:val="007C6E8D"/>
    <w:rsid w:val="00944C1D"/>
    <w:rsid w:val="009D15FA"/>
    <w:rsid w:val="00CE1133"/>
    <w:rsid w:val="00D0060B"/>
    <w:rsid w:val="00D37905"/>
    <w:rsid w:val="00DD5991"/>
    <w:rsid w:val="00E80647"/>
    <w:rsid w:val="00F92818"/>
    <w:rsid w:val="00FD6F4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812E33-78D7-49CE-BFDC-B0092A0BD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4">
    <w:name w:val="j14"/>
    <w:basedOn w:val="a"/>
    <w:rsid w:val="007B56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7B56D8"/>
  </w:style>
  <w:style w:type="paragraph" w:customStyle="1" w:styleId="j12">
    <w:name w:val="j12"/>
    <w:basedOn w:val="a"/>
    <w:rsid w:val="007B56D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rsid w:val="00541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17557C"/>
    <w:pPr>
      <w:spacing w:after="0" w:line="240" w:lineRule="auto"/>
    </w:pPr>
    <w:rPr>
      <w:rFonts w:eastAsiaTheme="minorEastAsia"/>
      <w:lang w:eastAsia="zh-CN"/>
    </w:rPr>
  </w:style>
  <w:style w:type="paragraph" w:styleId="a5">
    <w:name w:val="Balloon Text"/>
    <w:basedOn w:val="a"/>
    <w:link w:val="a6"/>
    <w:uiPriority w:val="99"/>
    <w:semiHidden/>
    <w:unhideWhenUsed/>
    <w:rsid w:val="00DD59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59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324424">
      <w:bodyDiv w:val="1"/>
      <w:marLeft w:val="0"/>
      <w:marRight w:val="0"/>
      <w:marTop w:val="0"/>
      <w:marBottom w:val="0"/>
      <w:divBdr>
        <w:top w:val="none" w:sz="0" w:space="0" w:color="auto"/>
        <w:left w:val="none" w:sz="0" w:space="0" w:color="auto"/>
        <w:bottom w:val="none" w:sz="0" w:space="0" w:color="auto"/>
        <w:right w:val="none" w:sz="0" w:space="0" w:color="auto"/>
      </w:divBdr>
    </w:div>
    <w:div w:id="59258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1418</Words>
  <Characters>8085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2024-04-04T10:18:00Z</cp:lastPrinted>
  <dcterms:created xsi:type="dcterms:W3CDTF">2023-06-29T08:13:00Z</dcterms:created>
  <dcterms:modified xsi:type="dcterms:W3CDTF">2026-08-04T04:51:00Z</dcterms:modified>
</cp:coreProperties>
</file>